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18F347" w14:textId="3ABE0976" w:rsidR="000B5172" w:rsidRDefault="000B5172" w:rsidP="00B75543">
      <w:pPr>
        <w:jc w:val="center"/>
        <w:rPr>
          <w:bCs/>
          <w:sz w:val="48"/>
          <w:szCs w:val="48"/>
        </w:rPr>
      </w:pPr>
    </w:p>
    <w:p w14:paraId="51C066F6" w14:textId="77777777" w:rsidR="000B5172" w:rsidRPr="00265ED8" w:rsidRDefault="000B5172" w:rsidP="000B5172">
      <w:pPr>
        <w:suppressAutoHyphens/>
        <w:spacing w:line="240" w:lineRule="atLeast"/>
        <w:jc w:val="center"/>
        <w:rPr>
          <w:b/>
          <w:bCs/>
          <w:szCs w:val="24"/>
        </w:rPr>
      </w:pPr>
      <w:r w:rsidRPr="00265ED8">
        <w:rPr>
          <w:b/>
          <w:bCs/>
          <w:szCs w:val="24"/>
        </w:rPr>
        <w:t>IN THE UNITED STATES DISTRICT COURT</w:t>
      </w:r>
    </w:p>
    <w:p w14:paraId="5D3ABB9D" w14:textId="77777777" w:rsidR="000B5172" w:rsidRPr="00265ED8" w:rsidRDefault="000B5172" w:rsidP="000B5172">
      <w:pPr>
        <w:suppressAutoHyphens/>
        <w:spacing w:after="240" w:line="240" w:lineRule="atLeast"/>
        <w:jc w:val="center"/>
        <w:rPr>
          <w:b/>
          <w:bCs/>
          <w:szCs w:val="24"/>
        </w:rPr>
      </w:pPr>
      <w:r w:rsidRPr="00265ED8">
        <w:rPr>
          <w:b/>
          <w:bCs/>
          <w:szCs w:val="24"/>
        </w:rPr>
        <w:t>WESTERN DISTRICT OF PENNSYLVANIA</w:t>
      </w:r>
    </w:p>
    <w:tbl>
      <w:tblPr>
        <w:tblStyle w:val="TableGrid"/>
        <w:tblW w:w="9452" w:type="dxa"/>
        <w:tblBorders>
          <w:top w:val="none" w:sz="0" w:space="0" w:color="auto"/>
          <w:left w:val="none" w:sz="0" w:space="0" w:color="auto"/>
          <w:bottom w:val="none" w:sz="0" w:space="0" w:color="auto"/>
          <w:right w:val="none" w:sz="0" w:space="0" w:color="auto"/>
          <w:insideV w:val="dotDash" w:sz="4" w:space="0" w:color="auto"/>
        </w:tblBorders>
        <w:tblLook w:val="04A0" w:firstRow="1" w:lastRow="0" w:firstColumn="1" w:lastColumn="0" w:noHBand="0" w:noVBand="1"/>
      </w:tblPr>
      <w:tblGrid>
        <w:gridCol w:w="5040"/>
        <w:gridCol w:w="4412"/>
      </w:tblGrid>
      <w:tr w:rsidR="000B5172" w:rsidRPr="00746814" w14:paraId="40058938" w14:textId="77777777" w:rsidTr="001E3D9E">
        <w:tc>
          <w:tcPr>
            <w:tcW w:w="5040" w:type="dxa"/>
            <w:tcBorders>
              <w:top w:val="single" w:sz="4" w:space="0" w:color="auto"/>
              <w:left w:val="nil"/>
              <w:bottom w:val="single" w:sz="4" w:space="0" w:color="auto"/>
              <w:right w:val="single" w:sz="4" w:space="0" w:color="auto"/>
            </w:tcBorders>
          </w:tcPr>
          <w:p w14:paraId="313C647B" w14:textId="77777777" w:rsidR="000B5172" w:rsidRPr="005C315D" w:rsidRDefault="000B5172" w:rsidP="001E3D9E">
            <w:pPr>
              <w:suppressAutoHyphens/>
              <w:spacing w:before="240" w:line="240" w:lineRule="atLeast"/>
              <w:ind w:right="-20"/>
              <w:rPr>
                <w:szCs w:val="24"/>
              </w:rPr>
            </w:pPr>
            <w:r>
              <w:rPr>
                <w:szCs w:val="24"/>
              </w:rPr>
              <w:t>BLAIR DOUGLASS</w:t>
            </w:r>
            <w:r w:rsidRPr="005C315D">
              <w:rPr>
                <w:szCs w:val="24"/>
              </w:rPr>
              <w:t>,</w:t>
            </w:r>
            <w:r>
              <w:rPr>
                <w:szCs w:val="24"/>
              </w:rPr>
              <w:t xml:space="preserve"> on behalf of himself and all others similarly situated,</w:t>
            </w:r>
          </w:p>
          <w:p w14:paraId="74E7927B" w14:textId="77777777" w:rsidR="000B5172" w:rsidRPr="008103AC" w:rsidRDefault="000B5172" w:rsidP="001E3D9E">
            <w:pPr>
              <w:suppressAutoHyphens/>
              <w:spacing w:line="240" w:lineRule="atLeast"/>
              <w:rPr>
                <w:szCs w:val="24"/>
              </w:rPr>
            </w:pPr>
          </w:p>
          <w:p w14:paraId="72EB63AE" w14:textId="77777777" w:rsidR="000B5172" w:rsidRPr="002D02A9" w:rsidRDefault="000B5172" w:rsidP="001E3D9E">
            <w:pPr>
              <w:suppressAutoHyphens/>
              <w:spacing w:line="240" w:lineRule="atLeast"/>
              <w:rPr>
                <w:szCs w:val="24"/>
              </w:rPr>
            </w:pPr>
            <w:r w:rsidRPr="002D02A9">
              <w:rPr>
                <w:szCs w:val="24"/>
              </w:rPr>
              <w:tab/>
            </w:r>
            <w:r w:rsidRPr="002D02A9">
              <w:rPr>
                <w:szCs w:val="24"/>
              </w:rPr>
              <w:tab/>
            </w:r>
            <w:r w:rsidRPr="002D02A9">
              <w:rPr>
                <w:szCs w:val="24"/>
              </w:rPr>
              <w:tab/>
              <w:t>Plaintiff,</w:t>
            </w:r>
          </w:p>
          <w:p w14:paraId="4B5BF2BC" w14:textId="77777777" w:rsidR="000B5172" w:rsidRPr="002D02A9" w:rsidRDefault="000B5172" w:rsidP="001E3D9E">
            <w:pPr>
              <w:suppressAutoHyphens/>
              <w:spacing w:line="240" w:lineRule="atLeast"/>
              <w:rPr>
                <w:szCs w:val="24"/>
              </w:rPr>
            </w:pPr>
          </w:p>
          <w:p w14:paraId="217BFF20" w14:textId="77777777" w:rsidR="000B5172" w:rsidRPr="002D02A9" w:rsidRDefault="000B5172" w:rsidP="001E3D9E">
            <w:pPr>
              <w:suppressAutoHyphens/>
              <w:spacing w:line="240" w:lineRule="atLeast"/>
              <w:rPr>
                <w:szCs w:val="24"/>
              </w:rPr>
            </w:pPr>
            <w:r w:rsidRPr="002D02A9">
              <w:rPr>
                <w:szCs w:val="24"/>
              </w:rPr>
              <w:tab/>
              <w:t>v.</w:t>
            </w:r>
          </w:p>
          <w:p w14:paraId="2CF72686" w14:textId="77777777" w:rsidR="000B5172" w:rsidRPr="002D02A9" w:rsidRDefault="000B5172" w:rsidP="001E3D9E">
            <w:pPr>
              <w:suppressAutoHyphens/>
              <w:spacing w:line="240" w:lineRule="atLeast"/>
              <w:rPr>
                <w:szCs w:val="24"/>
              </w:rPr>
            </w:pPr>
          </w:p>
          <w:p w14:paraId="208DA97D" w14:textId="77777777" w:rsidR="000B5172" w:rsidRPr="002D02A9" w:rsidRDefault="000B5172" w:rsidP="001E3D9E">
            <w:pPr>
              <w:tabs>
                <w:tab w:val="left" w:pos="3782"/>
              </w:tabs>
              <w:suppressAutoHyphens/>
              <w:spacing w:line="240" w:lineRule="atLeast"/>
              <w:rPr>
                <w:szCs w:val="24"/>
              </w:rPr>
            </w:pPr>
            <w:r w:rsidRPr="0033077A">
              <w:rPr>
                <w:szCs w:val="24"/>
              </w:rPr>
              <w:t>MONDEL</w:t>
            </w:r>
            <w:r w:rsidRPr="000F2126">
              <w:rPr>
                <w:szCs w:val="24"/>
              </w:rPr>
              <w:t>Ē</w:t>
            </w:r>
            <w:r w:rsidRPr="0033077A">
              <w:rPr>
                <w:szCs w:val="24"/>
              </w:rPr>
              <w:t>Z GLOBAL LLC</w:t>
            </w:r>
            <w:r w:rsidRPr="002D02A9">
              <w:rPr>
                <w:szCs w:val="24"/>
              </w:rPr>
              <w:t>,</w:t>
            </w:r>
            <w:r w:rsidRPr="002D02A9">
              <w:rPr>
                <w:szCs w:val="24"/>
              </w:rPr>
              <w:tab/>
            </w:r>
          </w:p>
          <w:p w14:paraId="75ABECD6" w14:textId="77777777" w:rsidR="000B5172" w:rsidRPr="002D02A9" w:rsidRDefault="000B5172" w:rsidP="001E3D9E">
            <w:pPr>
              <w:suppressAutoHyphens/>
              <w:spacing w:line="240" w:lineRule="atLeast"/>
              <w:rPr>
                <w:szCs w:val="24"/>
              </w:rPr>
            </w:pPr>
          </w:p>
          <w:p w14:paraId="5FA9B212" w14:textId="77777777" w:rsidR="000B5172" w:rsidRPr="00746814" w:rsidRDefault="000B5172" w:rsidP="001E3D9E">
            <w:pPr>
              <w:suppressAutoHyphens/>
              <w:spacing w:after="240" w:line="240" w:lineRule="atLeast"/>
              <w:rPr>
                <w:szCs w:val="24"/>
              </w:rPr>
            </w:pPr>
            <w:r w:rsidRPr="002D02A9">
              <w:rPr>
                <w:szCs w:val="24"/>
              </w:rPr>
              <w:tab/>
            </w:r>
            <w:r w:rsidRPr="002D02A9">
              <w:rPr>
                <w:szCs w:val="24"/>
              </w:rPr>
              <w:tab/>
            </w:r>
            <w:r w:rsidRPr="002D02A9">
              <w:rPr>
                <w:szCs w:val="24"/>
              </w:rPr>
              <w:tab/>
              <w:t>Defendant.</w:t>
            </w:r>
          </w:p>
        </w:tc>
        <w:tc>
          <w:tcPr>
            <w:tcW w:w="4412" w:type="dxa"/>
            <w:tcBorders>
              <w:top w:val="nil"/>
              <w:left w:val="single" w:sz="4" w:space="0" w:color="auto"/>
              <w:bottom w:val="nil"/>
              <w:right w:val="nil"/>
            </w:tcBorders>
          </w:tcPr>
          <w:p w14:paraId="0C213EC6" w14:textId="77777777" w:rsidR="000B5172" w:rsidRPr="002D02A9" w:rsidRDefault="000B5172" w:rsidP="001E3D9E">
            <w:pPr>
              <w:suppressAutoHyphens/>
              <w:spacing w:line="240" w:lineRule="atLeast"/>
              <w:rPr>
                <w:szCs w:val="24"/>
              </w:rPr>
            </w:pPr>
          </w:p>
          <w:p w14:paraId="7271EA6C" w14:textId="77777777" w:rsidR="000B5172" w:rsidRPr="002D02A9" w:rsidRDefault="000B5172" w:rsidP="001E3D9E">
            <w:pPr>
              <w:suppressAutoHyphens/>
              <w:spacing w:line="240" w:lineRule="atLeast"/>
              <w:ind w:left="342"/>
              <w:rPr>
                <w:szCs w:val="24"/>
              </w:rPr>
            </w:pPr>
          </w:p>
          <w:p w14:paraId="173B2FCB" w14:textId="77777777" w:rsidR="000B5172" w:rsidRPr="002D02A9" w:rsidRDefault="000B5172" w:rsidP="001E3D9E">
            <w:pPr>
              <w:suppressAutoHyphens/>
              <w:spacing w:line="240" w:lineRule="atLeast"/>
              <w:ind w:left="342"/>
              <w:rPr>
                <w:szCs w:val="24"/>
              </w:rPr>
            </w:pPr>
          </w:p>
          <w:p w14:paraId="54A52A47" w14:textId="77777777" w:rsidR="000B5172" w:rsidRPr="00AC2B4A" w:rsidRDefault="000B5172" w:rsidP="001E3D9E">
            <w:pPr>
              <w:suppressAutoHyphens/>
              <w:spacing w:line="240" w:lineRule="atLeast"/>
              <w:ind w:left="342"/>
              <w:rPr>
                <w:szCs w:val="24"/>
              </w:rPr>
            </w:pPr>
            <w:r w:rsidRPr="00FF690C">
              <w:rPr>
                <w:szCs w:val="24"/>
              </w:rPr>
              <w:t>Civil Action No.</w:t>
            </w:r>
            <w:r w:rsidRPr="00D276A6">
              <w:rPr>
                <w:szCs w:val="24"/>
              </w:rPr>
              <w:t xml:space="preserve"> </w:t>
            </w:r>
            <w:r>
              <w:rPr>
                <w:szCs w:val="24"/>
              </w:rPr>
              <w:t>2:22-cv-00875-WSH</w:t>
            </w:r>
          </w:p>
          <w:p w14:paraId="5F53D416" w14:textId="77777777" w:rsidR="000B5172" w:rsidRPr="005C315D" w:rsidRDefault="000B5172" w:rsidP="001E3D9E">
            <w:pPr>
              <w:suppressAutoHyphens/>
              <w:spacing w:line="240" w:lineRule="atLeast"/>
              <w:ind w:left="342"/>
              <w:rPr>
                <w:szCs w:val="24"/>
              </w:rPr>
            </w:pPr>
          </w:p>
          <w:p w14:paraId="2DFC3838" w14:textId="77777777" w:rsidR="000B5172" w:rsidRPr="00746814" w:rsidRDefault="000B5172" w:rsidP="001E3D9E">
            <w:pPr>
              <w:suppressAutoHyphens/>
              <w:spacing w:line="240" w:lineRule="atLeast"/>
              <w:rPr>
                <w:b/>
                <w:szCs w:val="24"/>
                <w:u w:val="single"/>
              </w:rPr>
            </w:pPr>
            <w:r w:rsidRPr="008103AC">
              <w:rPr>
                <w:b/>
                <w:szCs w:val="24"/>
              </w:rPr>
              <w:tab/>
            </w:r>
          </w:p>
        </w:tc>
      </w:tr>
    </w:tbl>
    <w:p w14:paraId="2F6E111F" w14:textId="77777777" w:rsidR="000B5172" w:rsidRDefault="000B5172" w:rsidP="000B5172">
      <w:pPr>
        <w:suppressAutoHyphens/>
        <w:spacing w:line="240" w:lineRule="atLeast"/>
        <w:rPr>
          <w:szCs w:val="24"/>
        </w:rPr>
      </w:pPr>
    </w:p>
    <w:p w14:paraId="2C939BB1" w14:textId="77777777" w:rsidR="000B5172" w:rsidRPr="005272BA" w:rsidRDefault="000B5172" w:rsidP="000B5172">
      <w:pPr>
        <w:jc w:val="center"/>
        <w:rPr>
          <w:b/>
          <w:szCs w:val="24"/>
        </w:rPr>
      </w:pPr>
      <w:r>
        <w:rPr>
          <w:b/>
          <w:szCs w:val="24"/>
          <w:u w:val="single"/>
        </w:rPr>
        <w:t>NOTICE PLAN</w:t>
      </w:r>
    </w:p>
    <w:p w14:paraId="35C8AF71" w14:textId="77777777" w:rsidR="000B5172" w:rsidRDefault="000B5172" w:rsidP="000B5172">
      <w:pPr>
        <w:ind w:firstLine="720"/>
        <w:rPr>
          <w:szCs w:val="24"/>
        </w:rPr>
      </w:pPr>
    </w:p>
    <w:p w14:paraId="6EFF493B" w14:textId="77777777" w:rsidR="000B5172" w:rsidRPr="00AF2D74" w:rsidRDefault="000B5172" w:rsidP="000B5172">
      <w:pPr>
        <w:pStyle w:val="ListParagraph"/>
        <w:numPr>
          <w:ilvl w:val="0"/>
          <w:numId w:val="3"/>
        </w:numPr>
        <w:spacing w:line="480" w:lineRule="auto"/>
        <w:ind w:left="0" w:firstLine="720"/>
        <w:jc w:val="both"/>
        <w:rPr>
          <w:szCs w:val="24"/>
        </w:rPr>
      </w:pPr>
      <w:r w:rsidRPr="00C727BC">
        <w:rPr>
          <w:szCs w:val="24"/>
        </w:rPr>
        <w:t xml:space="preserve">As soon as practicable, but no later than twenty-one (21) days after the Court’s entry of a Preliminary Approval </w:t>
      </w:r>
      <w:r w:rsidRPr="0019021C">
        <w:rPr>
          <w:szCs w:val="24"/>
        </w:rPr>
        <w:t>o</w:t>
      </w:r>
      <w:r w:rsidRPr="00C727BC">
        <w:rPr>
          <w:szCs w:val="24"/>
        </w:rPr>
        <w:t xml:space="preserve">rder, </w:t>
      </w:r>
      <w:r>
        <w:rPr>
          <w:szCs w:val="24"/>
        </w:rPr>
        <w:t>Mondel</w:t>
      </w:r>
      <w:r w:rsidRPr="000F2126">
        <w:rPr>
          <w:szCs w:val="24"/>
        </w:rPr>
        <w:t>ē</w:t>
      </w:r>
      <w:r>
        <w:rPr>
          <w:szCs w:val="24"/>
        </w:rPr>
        <w:t>z</w:t>
      </w:r>
      <w:r w:rsidRPr="00002225">
        <w:rPr>
          <w:szCs w:val="24"/>
        </w:rPr>
        <w:t xml:space="preserve"> </w:t>
      </w:r>
      <w:r>
        <w:rPr>
          <w:szCs w:val="24"/>
        </w:rPr>
        <w:t xml:space="preserve">Global LLC </w:t>
      </w:r>
      <w:r w:rsidRPr="00002225">
        <w:rPr>
          <w:szCs w:val="24"/>
        </w:rPr>
        <w:t>shall</w:t>
      </w:r>
      <w:r w:rsidRPr="0019021C">
        <w:rPr>
          <w:szCs w:val="24"/>
        </w:rPr>
        <w:t>,</w:t>
      </w:r>
      <w:r w:rsidRPr="00002225">
        <w:rPr>
          <w:szCs w:val="24"/>
        </w:rPr>
        <w:t xml:space="preserve"> at its expense</w:t>
      </w:r>
      <w:r w:rsidRPr="00AF2D74">
        <w:rPr>
          <w:szCs w:val="24"/>
        </w:rPr>
        <w:t>:</w:t>
      </w:r>
    </w:p>
    <w:p w14:paraId="52A94BB4" w14:textId="77777777" w:rsidR="000B5172" w:rsidRDefault="000B5172" w:rsidP="000B5172">
      <w:pPr>
        <w:pStyle w:val="ListParagraph"/>
        <w:numPr>
          <w:ilvl w:val="1"/>
          <w:numId w:val="3"/>
        </w:numPr>
        <w:spacing w:line="480" w:lineRule="auto"/>
        <w:ind w:left="0" w:firstLine="1440"/>
        <w:jc w:val="both"/>
        <w:rPr>
          <w:szCs w:val="24"/>
        </w:rPr>
      </w:pPr>
      <w:r w:rsidRPr="004472D4">
        <w:rPr>
          <w:szCs w:val="24"/>
        </w:rPr>
        <w:t xml:space="preserve">Cause </w:t>
      </w:r>
      <w:r>
        <w:rPr>
          <w:szCs w:val="24"/>
        </w:rPr>
        <w:t>the Long-Form Notice accompanying the Agreement as Agreement Exhibit B</w:t>
      </w:r>
      <w:r w:rsidRPr="004472D4">
        <w:rPr>
          <w:szCs w:val="24"/>
        </w:rPr>
        <w:t xml:space="preserve"> to be published on</w:t>
      </w:r>
      <w:r>
        <w:rPr>
          <w:szCs w:val="24"/>
        </w:rPr>
        <w:t>, and make the following documents filed in the Lawsuit available for download on,</w:t>
      </w:r>
      <w:r w:rsidRPr="004472D4">
        <w:rPr>
          <w:szCs w:val="24"/>
        </w:rPr>
        <w:t xml:space="preserve"> </w:t>
      </w:r>
      <w:r>
        <w:rPr>
          <w:szCs w:val="24"/>
        </w:rPr>
        <w:t>the</w:t>
      </w:r>
      <w:r w:rsidRPr="004472D4">
        <w:rPr>
          <w:szCs w:val="24"/>
        </w:rPr>
        <w:t xml:space="preserve"> </w:t>
      </w:r>
      <w:r>
        <w:rPr>
          <w:szCs w:val="24"/>
        </w:rPr>
        <w:t>S</w:t>
      </w:r>
      <w:r w:rsidRPr="004472D4">
        <w:rPr>
          <w:szCs w:val="24"/>
        </w:rPr>
        <w:t xml:space="preserve">ettlement </w:t>
      </w:r>
      <w:r>
        <w:rPr>
          <w:szCs w:val="24"/>
        </w:rPr>
        <w:t>W</w:t>
      </w:r>
      <w:r w:rsidRPr="004472D4">
        <w:rPr>
          <w:szCs w:val="24"/>
        </w:rPr>
        <w:t>ebsite</w:t>
      </w:r>
      <w:r>
        <w:rPr>
          <w:szCs w:val="24"/>
        </w:rPr>
        <w:t xml:space="preserve">, located at </w:t>
      </w:r>
      <w:hyperlink r:id="rId7" w:history="1">
        <w:r w:rsidRPr="00B40F39">
          <w:rPr>
            <w:rStyle w:val="Hyperlink"/>
          </w:rPr>
          <w:t>https://www.mondelezADAsettlement.com</w:t>
        </w:r>
      </w:hyperlink>
      <w:r>
        <w:t>:</w:t>
      </w:r>
      <w:r>
        <w:rPr>
          <w:rStyle w:val="FootnoteReference"/>
          <w:szCs w:val="24"/>
        </w:rPr>
        <w:footnoteReference w:id="1"/>
      </w:r>
    </w:p>
    <w:p w14:paraId="43CA0830" w14:textId="77777777" w:rsidR="000B5172" w:rsidRDefault="000B5172" w:rsidP="000B5172">
      <w:pPr>
        <w:pStyle w:val="ListParagraph"/>
        <w:numPr>
          <w:ilvl w:val="2"/>
          <w:numId w:val="3"/>
        </w:numPr>
        <w:spacing w:line="480" w:lineRule="auto"/>
        <w:ind w:left="0" w:firstLine="2160"/>
        <w:jc w:val="both"/>
        <w:rPr>
          <w:szCs w:val="24"/>
        </w:rPr>
      </w:pPr>
      <w:r w:rsidRPr="00126FE2">
        <w:rPr>
          <w:szCs w:val="24"/>
        </w:rPr>
        <w:t>the</w:t>
      </w:r>
      <w:r w:rsidRPr="00B24677">
        <w:rPr>
          <w:szCs w:val="24"/>
        </w:rPr>
        <w:t xml:space="preserve"> class action complaint</w:t>
      </w:r>
      <w:r>
        <w:rPr>
          <w:szCs w:val="24"/>
        </w:rPr>
        <w:t>;</w:t>
      </w:r>
      <w:r w:rsidRPr="00B24677">
        <w:rPr>
          <w:szCs w:val="24"/>
        </w:rPr>
        <w:t xml:space="preserve"> </w:t>
      </w:r>
    </w:p>
    <w:p w14:paraId="38A90470" w14:textId="77777777" w:rsidR="000B5172" w:rsidRDefault="000B5172" w:rsidP="000B5172">
      <w:pPr>
        <w:pStyle w:val="ListParagraph"/>
        <w:numPr>
          <w:ilvl w:val="2"/>
          <w:numId w:val="3"/>
        </w:numPr>
        <w:spacing w:line="480" w:lineRule="auto"/>
        <w:ind w:left="0" w:firstLine="2160"/>
        <w:jc w:val="both"/>
        <w:rPr>
          <w:szCs w:val="24"/>
        </w:rPr>
      </w:pPr>
      <w:r w:rsidRPr="00AF2D74">
        <w:rPr>
          <w:szCs w:val="24"/>
        </w:rPr>
        <w:t xml:space="preserve">Plaintiff’s </w:t>
      </w:r>
      <w:r w:rsidRPr="00B154D0">
        <w:rPr>
          <w:szCs w:val="24"/>
        </w:rPr>
        <w:t xml:space="preserve">preliminary approval </w:t>
      </w:r>
      <w:r>
        <w:rPr>
          <w:szCs w:val="24"/>
        </w:rPr>
        <w:t>motion</w:t>
      </w:r>
      <w:r w:rsidRPr="00B154D0">
        <w:rPr>
          <w:szCs w:val="24"/>
        </w:rPr>
        <w:t xml:space="preserve"> and supporting documents</w:t>
      </w:r>
      <w:r w:rsidRPr="00AF2D74">
        <w:rPr>
          <w:szCs w:val="24"/>
        </w:rPr>
        <w:t>;</w:t>
      </w:r>
      <w:r>
        <w:rPr>
          <w:szCs w:val="24"/>
        </w:rPr>
        <w:t xml:space="preserve"> and</w:t>
      </w:r>
    </w:p>
    <w:p w14:paraId="471BFED9" w14:textId="77777777" w:rsidR="000B5172" w:rsidRPr="00AF2D74" w:rsidRDefault="000B5172" w:rsidP="000B5172">
      <w:pPr>
        <w:pStyle w:val="ListParagraph"/>
        <w:numPr>
          <w:ilvl w:val="2"/>
          <w:numId w:val="3"/>
        </w:numPr>
        <w:spacing w:line="480" w:lineRule="auto"/>
        <w:ind w:left="0" w:firstLine="2160"/>
        <w:jc w:val="both"/>
        <w:rPr>
          <w:szCs w:val="24"/>
        </w:rPr>
      </w:pPr>
      <w:r w:rsidRPr="00AF2D74">
        <w:rPr>
          <w:szCs w:val="24"/>
        </w:rPr>
        <w:t>the Court’s orders</w:t>
      </w:r>
      <w:r>
        <w:rPr>
          <w:szCs w:val="24"/>
        </w:rPr>
        <w:t xml:space="preserve"> granting preliminary approval</w:t>
      </w:r>
      <w:r w:rsidRPr="00AF2D74">
        <w:rPr>
          <w:szCs w:val="24"/>
        </w:rPr>
        <w:t xml:space="preserve"> </w:t>
      </w:r>
      <w:r>
        <w:rPr>
          <w:szCs w:val="24"/>
        </w:rPr>
        <w:t>and</w:t>
      </w:r>
      <w:r w:rsidRPr="00AF2D74">
        <w:rPr>
          <w:szCs w:val="24"/>
        </w:rPr>
        <w:t xml:space="preserve"> any supporting memorandum.</w:t>
      </w:r>
    </w:p>
    <w:p w14:paraId="180CB396" w14:textId="77777777" w:rsidR="000B5172" w:rsidRPr="00B154D0" w:rsidRDefault="000B5172" w:rsidP="000B5172">
      <w:pPr>
        <w:pStyle w:val="ListParagraph"/>
        <w:numPr>
          <w:ilvl w:val="1"/>
          <w:numId w:val="3"/>
        </w:numPr>
        <w:spacing w:line="480" w:lineRule="auto"/>
        <w:ind w:left="0" w:firstLine="1440"/>
        <w:jc w:val="both"/>
        <w:rPr>
          <w:szCs w:val="24"/>
        </w:rPr>
      </w:pPr>
      <w:r w:rsidRPr="00B154D0">
        <w:rPr>
          <w:szCs w:val="24"/>
        </w:rPr>
        <w:t xml:space="preserve">Request that the following organizations publish notice in the form of </w:t>
      </w:r>
      <w:r>
        <w:rPr>
          <w:szCs w:val="24"/>
        </w:rPr>
        <w:t xml:space="preserve">Section 1(c) </w:t>
      </w:r>
      <w:r w:rsidRPr="00B154D0">
        <w:rPr>
          <w:szCs w:val="24"/>
        </w:rPr>
        <w:t xml:space="preserve">in their respective electronic newsletters so the notice is sent out within sixty (60) </w:t>
      </w:r>
      <w:r w:rsidRPr="00B154D0">
        <w:rPr>
          <w:szCs w:val="24"/>
        </w:rPr>
        <w:lastRenderedPageBreak/>
        <w:t>days of Preliminary Approval. Mondelēz Global LLC shall copy Class Counsel on each request at the addresses provided in Section 38.1</w:t>
      </w:r>
      <w:r>
        <w:rPr>
          <w:szCs w:val="24"/>
        </w:rPr>
        <w:t xml:space="preserve"> of the Agreement.</w:t>
      </w:r>
    </w:p>
    <w:p w14:paraId="3A52326C" w14:textId="77777777" w:rsidR="000B5172" w:rsidRPr="00B154D0" w:rsidRDefault="000B5172" w:rsidP="000B5172">
      <w:pPr>
        <w:ind w:left="2160"/>
        <w:jc w:val="both"/>
        <w:rPr>
          <w:szCs w:val="24"/>
        </w:rPr>
      </w:pPr>
      <w:r w:rsidRPr="00B154D0">
        <w:rPr>
          <w:szCs w:val="24"/>
        </w:rPr>
        <w:t>(1</w:t>
      </w:r>
      <w:r>
        <w:rPr>
          <w:szCs w:val="24"/>
        </w:rPr>
        <w:t xml:space="preserve">)     </w:t>
      </w:r>
      <w:r w:rsidRPr="00B154D0">
        <w:rPr>
          <w:szCs w:val="24"/>
        </w:rPr>
        <w:t>Achieva,</w:t>
      </w:r>
    </w:p>
    <w:p w14:paraId="7E652429" w14:textId="77777777" w:rsidR="000B5172" w:rsidRPr="00B154D0" w:rsidRDefault="000B5172" w:rsidP="000B5172">
      <w:pPr>
        <w:ind w:left="2160"/>
        <w:jc w:val="both"/>
        <w:rPr>
          <w:szCs w:val="24"/>
        </w:rPr>
      </w:pPr>
      <w:r w:rsidRPr="00B154D0">
        <w:rPr>
          <w:szCs w:val="24"/>
        </w:rPr>
        <w:t xml:space="preserve">(2) </w:t>
      </w:r>
      <w:r>
        <w:rPr>
          <w:szCs w:val="24"/>
        </w:rPr>
        <w:t xml:space="preserve">    </w:t>
      </w:r>
      <w:r w:rsidRPr="00B154D0">
        <w:rPr>
          <w:szCs w:val="24"/>
        </w:rPr>
        <w:t>American Council of the Blind,</w:t>
      </w:r>
    </w:p>
    <w:p w14:paraId="09292B50" w14:textId="77777777" w:rsidR="000B5172" w:rsidRPr="00B154D0" w:rsidRDefault="000B5172" w:rsidP="000B5172">
      <w:pPr>
        <w:ind w:left="2160"/>
        <w:jc w:val="both"/>
        <w:rPr>
          <w:szCs w:val="24"/>
        </w:rPr>
      </w:pPr>
      <w:r w:rsidRPr="00B154D0">
        <w:rPr>
          <w:szCs w:val="24"/>
        </w:rPr>
        <w:t xml:space="preserve">(3) </w:t>
      </w:r>
      <w:r>
        <w:rPr>
          <w:szCs w:val="24"/>
        </w:rPr>
        <w:t xml:space="preserve">    </w:t>
      </w:r>
      <w:r w:rsidRPr="00B154D0">
        <w:rPr>
          <w:szCs w:val="24"/>
        </w:rPr>
        <w:t>American Foundation for the Blind,</w:t>
      </w:r>
    </w:p>
    <w:p w14:paraId="0B6F5DA1" w14:textId="77777777" w:rsidR="000B5172" w:rsidRPr="00B154D0" w:rsidRDefault="000B5172" w:rsidP="000B5172">
      <w:pPr>
        <w:ind w:left="2160"/>
        <w:jc w:val="both"/>
        <w:rPr>
          <w:szCs w:val="24"/>
        </w:rPr>
      </w:pPr>
      <w:r w:rsidRPr="00B154D0">
        <w:rPr>
          <w:szCs w:val="24"/>
        </w:rPr>
        <w:t xml:space="preserve">(4) </w:t>
      </w:r>
      <w:r>
        <w:rPr>
          <w:szCs w:val="24"/>
        </w:rPr>
        <w:t xml:space="preserve">    </w:t>
      </w:r>
      <w:r w:rsidRPr="00B154D0">
        <w:rPr>
          <w:szCs w:val="24"/>
        </w:rPr>
        <w:t>Blinded American Veterans Foundation,</w:t>
      </w:r>
    </w:p>
    <w:p w14:paraId="4A679A7E" w14:textId="77777777" w:rsidR="000B5172" w:rsidRPr="00B154D0" w:rsidRDefault="000B5172" w:rsidP="000B5172">
      <w:pPr>
        <w:ind w:left="2160"/>
        <w:jc w:val="both"/>
        <w:rPr>
          <w:szCs w:val="24"/>
        </w:rPr>
      </w:pPr>
      <w:r w:rsidRPr="00B154D0">
        <w:rPr>
          <w:szCs w:val="24"/>
        </w:rPr>
        <w:t xml:space="preserve">(5) </w:t>
      </w:r>
      <w:r>
        <w:rPr>
          <w:szCs w:val="24"/>
        </w:rPr>
        <w:t xml:space="preserve">    </w:t>
      </w:r>
      <w:r w:rsidRPr="00B154D0">
        <w:rPr>
          <w:szCs w:val="24"/>
        </w:rPr>
        <w:t>Blinded Veterans Association,</w:t>
      </w:r>
    </w:p>
    <w:p w14:paraId="039EA5AD" w14:textId="77777777" w:rsidR="000B5172" w:rsidRPr="00B154D0" w:rsidRDefault="000B5172" w:rsidP="000B5172">
      <w:pPr>
        <w:ind w:left="2160"/>
        <w:jc w:val="both"/>
        <w:rPr>
          <w:szCs w:val="24"/>
        </w:rPr>
      </w:pPr>
      <w:r w:rsidRPr="00B154D0">
        <w:rPr>
          <w:szCs w:val="24"/>
        </w:rPr>
        <w:t xml:space="preserve">(6) </w:t>
      </w:r>
      <w:r>
        <w:rPr>
          <w:szCs w:val="24"/>
        </w:rPr>
        <w:t xml:space="preserve">    </w:t>
      </w:r>
      <w:r w:rsidRPr="00B154D0">
        <w:rPr>
          <w:szCs w:val="24"/>
        </w:rPr>
        <w:t>Foundation Fighting Blindness,</w:t>
      </w:r>
    </w:p>
    <w:p w14:paraId="78467F6A" w14:textId="77777777" w:rsidR="000B5172" w:rsidRPr="00B154D0" w:rsidRDefault="000B5172" w:rsidP="000B5172">
      <w:pPr>
        <w:ind w:left="2160"/>
        <w:jc w:val="both"/>
        <w:rPr>
          <w:szCs w:val="24"/>
        </w:rPr>
      </w:pPr>
      <w:r w:rsidRPr="00B154D0">
        <w:rPr>
          <w:szCs w:val="24"/>
        </w:rPr>
        <w:t xml:space="preserve">(7) </w:t>
      </w:r>
      <w:r>
        <w:rPr>
          <w:szCs w:val="24"/>
        </w:rPr>
        <w:t xml:space="preserve">    </w:t>
      </w:r>
      <w:r w:rsidRPr="00B154D0">
        <w:rPr>
          <w:szCs w:val="24"/>
        </w:rPr>
        <w:t>Guide Dogs for the Blind,</w:t>
      </w:r>
    </w:p>
    <w:p w14:paraId="4392EDBC" w14:textId="77777777" w:rsidR="000B5172" w:rsidRPr="00B154D0" w:rsidRDefault="000B5172" w:rsidP="000B5172">
      <w:pPr>
        <w:ind w:left="2160"/>
        <w:jc w:val="both"/>
        <w:rPr>
          <w:szCs w:val="24"/>
        </w:rPr>
      </w:pPr>
      <w:r w:rsidRPr="00B154D0">
        <w:rPr>
          <w:szCs w:val="24"/>
        </w:rPr>
        <w:t xml:space="preserve">(8) </w:t>
      </w:r>
      <w:r>
        <w:rPr>
          <w:szCs w:val="24"/>
        </w:rPr>
        <w:t xml:space="preserve">    </w:t>
      </w:r>
      <w:r w:rsidRPr="00B154D0">
        <w:rPr>
          <w:szCs w:val="24"/>
        </w:rPr>
        <w:t>National Association of Blind Merchants,</w:t>
      </w:r>
    </w:p>
    <w:p w14:paraId="76B7123F" w14:textId="77777777" w:rsidR="000B5172" w:rsidRPr="00B154D0" w:rsidRDefault="000B5172" w:rsidP="000B5172">
      <w:pPr>
        <w:ind w:left="2160"/>
        <w:jc w:val="both"/>
        <w:rPr>
          <w:szCs w:val="24"/>
        </w:rPr>
      </w:pPr>
      <w:r w:rsidRPr="00B154D0">
        <w:rPr>
          <w:szCs w:val="24"/>
        </w:rPr>
        <w:t xml:space="preserve">(9) </w:t>
      </w:r>
      <w:r>
        <w:rPr>
          <w:szCs w:val="24"/>
        </w:rPr>
        <w:t xml:space="preserve">    </w:t>
      </w:r>
      <w:r w:rsidRPr="00B154D0">
        <w:rPr>
          <w:szCs w:val="24"/>
        </w:rPr>
        <w:t>National Council on Disability, and</w:t>
      </w:r>
    </w:p>
    <w:p w14:paraId="6843E9A1" w14:textId="77777777" w:rsidR="000B5172" w:rsidRDefault="000B5172" w:rsidP="000B5172">
      <w:pPr>
        <w:ind w:left="2160"/>
        <w:jc w:val="both"/>
        <w:rPr>
          <w:szCs w:val="24"/>
        </w:rPr>
      </w:pPr>
      <w:r w:rsidRPr="00B154D0">
        <w:rPr>
          <w:szCs w:val="24"/>
        </w:rPr>
        <w:t xml:space="preserve">(10) </w:t>
      </w:r>
      <w:r>
        <w:rPr>
          <w:szCs w:val="24"/>
        </w:rPr>
        <w:t xml:space="preserve">  </w:t>
      </w:r>
      <w:r w:rsidRPr="00B154D0">
        <w:rPr>
          <w:szCs w:val="24"/>
        </w:rPr>
        <w:t>National Federation of the Blind.</w:t>
      </w:r>
    </w:p>
    <w:p w14:paraId="1066B150" w14:textId="77777777" w:rsidR="000B5172" w:rsidRPr="00B154D0" w:rsidRDefault="000B5172" w:rsidP="000B5172">
      <w:pPr>
        <w:ind w:left="1440"/>
        <w:jc w:val="both"/>
        <w:rPr>
          <w:szCs w:val="24"/>
        </w:rPr>
      </w:pPr>
    </w:p>
    <w:p w14:paraId="4EAD0C26" w14:textId="77777777" w:rsidR="000B5172" w:rsidRPr="009978CD" w:rsidRDefault="000B5172" w:rsidP="000B5172">
      <w:pPr>
        <w:pStyle w:val="ListParagraph"/>
        <w:numPr>
          <w:ilvl w:val="1"/>
          <w:numId w:val="3"/>
        </w:numPr>
        <w:spacing w:line="480" w:lineRule="auto"/>
        <w:ind w:left="0" w:firstLine="1440"/>
        <w:jc w:val="both"/>
        <w:rPr>
          <w:szCs w:val="24"/>
        </w:rPr>
      </w:pPr>
      <w:r w:rsidRPr="00B154D0">
        <w:rPr>
          <w:szCs w:val="24"/>
        </w:rPr>
        <w:t>“A proposed settlement has been reached that would resolve the class action lawsuit Douglass v. Mondelēz Global LLC, No. 2:22-cv-00875-WSH (W.D. Pa.). The lawsuit alleges that Mondelēz Global LLC violated the Americans with Disabilities Act, 42 U.S.C. §§ 12101, et seq. by failing to take the necessary steps to ensure its websites do not discriminate against blind or visually disabled consumers who use screen reader auxiliary aids to access digital content. Mondelēz Global LLC denies the allegations in the lawsuit that it has violated the ADA and denies any allegation or implication that it discriminates against blind or visually disabled consumers or any individual or group of individuals. Under the settlement, Mondelēz Global LLC agrees to take additional steps to make its websites, mobile apps, and any new website or mobile app it develops or acquires accessible to screen reader users</w:t>
      </w:r>
      <w:r>
        <w:rPr>
          <w:szCs w:val="24"/>
        </w:rPr>
        <w:t xml:space="preserve">. </w:t>
      </w:r>
      <w:r w:rsidRPr="009978CD">
        <w:rPr>
          <w:szCs w:val="24"/>
        </w:rPr>
        <w:t xml:space="preserve">For a more complete summary of the terms of the proposed settlement, please visit: </w:t>
      </w:r>
      <w:hyperlink r:id="rId8" w:history="1">
        <w:r w:rsidRPr="00B40F39">
          <w:rPr>
            <w:rStyle w:val="Hyperlink"/>
          </w:rPr>
          <w:t>https://www.mondelezADAsettlement.com</w:t>
        </w:r>
      </w:hyperlink>
      <w:r>
        <w:t>.”</w:t>
      </w:r>
    </w:p>
    <w:p w14:paraId="2739A670" w14:textId="1AEDF409" w:rsidR="00B75543" w:rsidRPr="000B5172" w:rsidRDefault="000B5172" w:rsidP="00B75543">
      <w:pPr>
        <w:pStyle w:val="ListParagraph"/>
        <w:numPr>
          <w:ilvl w:val="0"/>
          <w:numId w:val="3"/>
        </w:numPr>
        <w:spacing w:line="480" w:lineRule="auto"/>
        <w:ind w:left="0" w:firstLine="720"/>
        <w:jc w:val="both"/>
        <w:rPr>
          <w:szCs w:val="24"/>
        </w:rPr>
      </w:pPr>
      <w:r w:rsidRPr="000B5172">
        <w:rPr>
          <w:szCs w:val="24"/>
        </w:rPr>
        <w:t>As soon as practicable, but no later than seven (7) days after they are filed, Mondelēz Global LLC shall make any motion for attorneys’ fees and costs, and supporting documentation, as well as any order granting or denying any motion for attorneys’ fees and costs, available for download on the Settlement Website.</w:t>
      </w:r>
    </w:p>
    <w:p w14:paraId="5E145658" w14:textId="77777777" w:rsidR="004E1063" w:rsidRDefault="004E1063"/>
    <w:sectPr w:rsidR="004E1063" w:rsidSect="000B5172">
      <w:footerReference w:type="default" r:id="rId9"/>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C638B7" w14:textId="77777777" w:rsidR="00DA2802" w:rsidRDefault="00DA2802" w:rsidP="00B75543">
      <w:r>
        <w:separator/>
      </w:r>
    </w:p>
  </w:endnote>
  <w:endnote w:type="continuationSeparator" w:id="0">
    <w:p w14:paraId="7F80D65A" w14:textId="77777777" w:rsidR="00DA2802" w:rsidRDefault="00DA2802" w:rsidP="00B755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8876633"/>
      <w:docPartObj>
        <w:docPartGallery w:val="Page Numbers (Bottom of Page)"/>
        <w:docPartUnique/>
      </w:docPartObj>
    </w:sdtPr>
    <w:sdtEndPr>
      <w:rPr>
        <w:noProof/>
      </w:rPr>
    </w:sdtEndPr>
    <w:sdtContent>
      <w:p w14:paraId="59773B26" w14:textId="77777777" w:rsidR="00DF1576" w:rsidRDefault="00522CE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E24FD1E" w14:textId="77777777" w:rsidR="00DF1576" w:rsidRDefault="00522C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39B3F" w14:textId="77777777" w:rsidR="00DA2802" w:rsidRDefault="00DA2802" w:rsidP="00B75543">
      <w:r>
        <w:separator/>
      </w:r>
    </w:p>
  </w:footnote>
  <w:footnote w:type="continuationSeparator" w:id="0">
    <w:p w14:paraId="6EB4114E" w14:textId="77777777" w:rsidR="00DA2802" w:rsidRDefault="00DA2802" w:rsidP="00B75543">
      <w:r>
        <w:continuationSeparator/>
      </w:r>
    </w:p>
  </w:footnote>
  <w:footnote w:id="1">
    <w:p w14:paraId="2E6F28E8" w14:textId="77777777" w:rsidR="000B5172" w:rsidRPr="009300C7" w:rsidRDefault="000B5172" w:rsidP="000B5172">
      <w:pPr>
        <w:pStyle w:val="FootnoteText"/>
        <w:jc w:val="both"/>
        <w:rPr>
          <w:sz w:val="24"/>
          <w:szCs w:val="24"/>
        </w:rPr>
      </w:pPr>
      <w:r w:rsidRPr="009300C7">
        <w:rPr>
          <w:rStyle w:val="FootnoteReference"/>
          <w:sz w:val="24"/>
          <w:szCs w:val="24"/>
        </w:rPr>
        <w:footnoteRef/>
      </w:r>
      <w:r w:rsidRPr="009300C7">
        <w:rPr>
          <w:sz w:val="24"/>
          <w:szCs w:val="24"/>
        </w:rPr>
        <w:t xml:space="preserve"> The Settlement Website and the documents identified in Section 1(a) shall be fully accessible by individuals who screen reader auxiliary aids.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6D4B62"/>
    <w:multiLevelType w:val="hybridMultilevel"/>
    <w:tmpl w:val="61E28E5C"/>
    <w:lvl w:ilvl="0" w:tplc="87F6867E">
      <w:start w:val="1"/>
      <w:numFmt w:val="upperLetter"/>
      <w:lvlText w:val="(%1)"/>
      <w:lvlJc w:val="left"/>
      <w:pPr>
        <w:ind w:left="780" w:hanging="360"/>
      </w:pPr>
      <w:rPr>
        <w:rFonts w:hint="default"/>
      </w:rPr>
    </w:lvl>
    <w:lvl w:ilvl="1" w:tplc="BFBAD888">
      <w:start w:val="1"/>
      <w:numFmt w:val="decimal"/>
      <w:lvlText w:val="(%2)"/>
      <w:lvlJc w:val="left"/>
      <w:pPr>
        <w:ind w:left="1500" w:hanging="360"/>
      </w:pPr>
      <w:rPr>
        <w:rFonts w:hint="default"/>
      </w:r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 w15:restartNumberingAfterBreak="0">
    <w:nsid w:val="4D2B4066"/>
    <w:multiLevelType w:val="hybridMultilevel"/>
    <w:tmpl w:val="61BE352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5E5A7E97"/>
    <w:multiLevelType w:val="hybridMultilevel"/>
    <w:tmpl w:val="B09CE530"/>
    <w:lvl w:ilvl="0" w:tplc="0409000F">
      <w:start w:val="1"/>
      <w:numFmt w:val="decimal"/>
      <w:lvlText w:val="%1."/>
      <w:lvlJc w:val="left"/>
      <w:pPr>
        <w:ind w:left="720" w:hanging="360"/>
      </w:pPr>
    </w:lvl>
    <w:lvl w:ilvl="1" w:tplc="83C49260">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63745419">
    <w:abstractNumId w:val="0"/>
  </w:num>
  <w:num w:numId="2" w16cid:durableId="1195266188">
    <w:abstractNumId w:val="1"/>
  </w:num>
  <w:num w:numId="3" w16cid:durableId="9461562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543"/>
    <w:rsid w:val="000B5172"/>
    <w:rsid w:val="004E1063"/>
    <w:rsid w:val="00522CE0"/>
    <w:rsid w:val="00B75543"/>
    <w:rsid w:val="00BB2807"/>
    <w:rsid w:val="00C02D61"/>
    <w:rsid w:val="00C75FA5"/>
    <w:rsid w:val="00DA28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2A1ED"/>
  <w15:chartTrackingRefBased/>
  <w15:docId w15:val="{62884E75-6EEB-4A0E-A1A1-AA937F355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5543"/>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755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75543"/>
    <w:rPr>
      <w:color w:val="0563C1" w:themeColor="hyperlink"/>
      <w:u w:val="single"/>
    </w:rPr>
  </w:style>
  <w:style w:type="paragraph" w:styleId="FootnoteText">
    <w:name w:val="footnote text"/>
    <w:basedOn w:val="Normal"/>
    <w:link w:val="FootnoteTextChar"/>
    <w:uiPriority w:val="99"/>
    <w:semiHidden/>
    <w:unhideWhenUsed/>
    <w:rsid w:val="00B75543"/>
    <w:rPr>
      <w:sz w:val="20"/>
    </w:rPr>
  </w:style>
  <w:style w:type="character" w:customStyle="1" w:styleId="FootnoteTextChar">
    <w:name w:val="Footnote Text Char"/>
    <w:basedOn w:val="DefaultParagraphFont"/>
    <w:link w:val="FootnoteText"/>
    <w:uiPriority w:val="99"/>
    <w:semiHidden/>
    <w:rsid w:val="00B75543"/>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B75543"/>
    <w:rPr>
      <w:vertAlign w:val="superscript"/>
    </w:rPr>
  </w:style>
  <w:style w:type="paragraph" w:styleId="ListParagraph">
    <w:name w:val="List Paragraph"/>
    <w:basedOn w:val="Normal"/>
    <w:uiPriority w:val="1"/>
    <w:qFormat/>
    <w:rsid w:val="00B75543"/>
    <w:pPr>
      <w:ind w:left="720"/>
      <w:contextualSpacing/>
    </w:pPr>
  </w:style>
  <w:style w:type="paragraph" w:styleId="Footer">
    <w:name w:val="footer"/>
    <w:basedOn w:val="Normal"/>
    <w:link w:val="FooterChar"/>
    <w:uiPriority w:val="99"/>
    <w:unhideWhenUsed/>
    <w:rsid w:val="00B75543"/>
    <w:pPr>
      <w:tabs>
        <w:tab w:val="center" w:pos="4680"/>
        <w:tab w:val="right" w:pos="9360"/>
      </w:tabs>
    </w:pPr>
  </w:style>
  <w:style w:type="character" w:customStyle="1" w:styleId="FooterChar">
    <w:name w:val="Footer Char"/>
    <w:basedOn w:val="DefaultParagraphFont"/>
    <w:link w:val="Footer"/>
    <w:uiPriority w:val="99"/>
    <w:rsid w:val="00B75543"/>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0B5172"/>
    <w:pPr>
      <w:tabs>
        <w:tab w:val="center" w:pos="4680"/>
        <w:tab w:val="right" w:pos="9360"/>
      </w:tabs>
    </w:pPr>
  </w:style>
  <w:style w:type="character" w:customStyle="1" w:styleId="HeaderChar">
    <w:name w:val="Header Char"/>
    <w:basedOn w:val="DefaultParagraphFont"/>
    <w:link w:val="Header"/>
    <w:uiPriority w:val="99"/>
    <w:rsid w:val="000B5172"/>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ondelezADAsettlement.com" TargetMode="External"/><Relationship Id="rId3" Type="http://schemas.openxmlformats.org/officeDocument/2006/relationships/settings" Target="settings.xml"/><Relationship Id="rId7" Type="http://schemas.openxmlformats.org/officeDocument/2006/relationships/hyperlink" Target="https://www.mondelezADAsettlemen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449</Words>
  <Characters>2561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Tucker</dc:creator>
  <cp:keywords/>
  <dc:description/>
  <cp:lastModifiedBy>Markeita Reid</cp:lastModifiedBy>
  <cp:revision>2</cp:revision>
  <cp:lastPrinted>2022-11-18T15:33:00Z</cp:lastPrinted>
  <dcterms:created xsi:type="dcterms:W3CDTF">2023-05-09T20:16:00Z</dcterms:created>
  <dcterms:modified xsi:type="dcterms:W3CDTF">2023-05-09T20:16:00Z</dcterms:modified>
</cp:coreProperties>
</file>